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556B1"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w:t>
      </w:r>
      <w:proofErr w:type="gramStart"/>
      <w:r w:rsidRPr="00413AC9">
        <w:rPr>
          <w:rFonts w:eastAsia="Times New Roman" w:cstheme="minorHAnsi"/>
          <w:b/>
          <w:sz w:val="20"/>
          <w:szCs w:val="20"/>
          <w:lang w:eastAsia="hu-HU"/>
        </w:rPr>
        <w:t>neve:</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Pásztói Roma Nemzetiségi Önkormányzat</w:t>
      </w:r>
      <w:proofErr w:type="gramEnd"/>
      <w:proofErr w:type="spellStart"/>
      <w:proofErr w:type="spellEnd"/>
    </w:p>
    <w:p w14:paraId="073BA689"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3060 Pásztó,  Kölcsey utca 35.    </w:t>
      </w:r>
      <w:proofErr w:type="spellStart"/>
      <w:proofErr w:type="spellEnd"/>
    </w:p>
    <w:p w14:paraId="16708E45" w14:textId="77777777"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www.paszto.hu</w:t>
      </w:r>
      <w:proofErr w:type="spellStart"/>
      <w:proofErr w:type="spellEnd"/>
    </w:p>
    <w:p w14:paraId="770E9EE4" w14:textId="77777777"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+36 32 460155</w:t>
      </w:r>
      <w:proofErr w:type="spellStart"/>
      <w:proofErr w:type="spellEnd"/>
    </w:p>
    <w:p w14:paraId="06F28904"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15784805-1-12</w:t>
      </w:r>
      <w:proofErr w:type="spellStart"/>
      <w:proofErr w:type="spellEnd"/>
    </w:p>
    <w:p w14:paraId="217F1F6B" w14:textId="77777777" w:rsidR="004301CC" w:rsidRPr="00413AC9" w:rsidRDefault="00C70FE0" w:rsidP="00413AC9">
      <w:pPr>
        <w:tabs>
          <w:tab w:val="left" w:pos="4111"/>
        </w:tabs>
        <w:spacing w:after="0" w:line="240" w:lineRule="exact"/>
        <w:rPr>
          <w:rFonts w:eastAsia="Times New Roman" w:cstheme="minorHAnsi"/>
          <w:sz w:val="20"/>
          <w:szCs w:val="20"/>
          <w:lang w:eastAsia="hu-HU"/>
        </w:rPr>
      </w:pPr>
      <w:r w:rsidRPr="00C70FE0">
        <w:rPr>
          <w:rFonts w:eastAsia="Times New Roman" w:cstheme="minorHAnsi"/>
          <w:b/>
          <w:sz w:val="20"/>
          <w:szCs w:val="20"/>
          <w:lang w:eastAsia="hu-HU"/>
        </w:rPr>
        <w:t>Cégjegyzékszám, nyilvántartási szám</w:t>
      </w:r>
      <w:r w:rsidR="004301CC" w:rsidRPr="00413AC9">
        <w:rPr>
          <w:rFonts w:eastAsia="Times New Roman" w:cstheme="minorHAnsi"/>
          <w:b/>
          <w:sz w:val="20"/>
          <w:szCs w:val="20"/>
          <w:lang w:eastAsia="hu-HU"/>
        </w:rPr>
        <w:t>:</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784801</w:t>
      </w:r>
      <w:proofErr w:type="spellStart"/>
      <w:proofErr w:type="spellEnd"/>
    </w:p>
    <w:p w14:paraId="24E511DB" w14:textId="77777777"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Kiss Károlyné</w:t>
      </w:r>
      <w:proofErr w:type="spellStart"/>
      <w:proofErr w:type="spellEnd"/>
    </w:p>
    <w:p w14:paraId="02EACB10" w14:textId="77777777"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roofErr w:type="spellStart"/>
      <w:proofErr w:type="spellEnd"/>
    </w:p>
    <w:p w14:paraId="047CE9C0" w14:textId="77777777"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adatvedelem@paszto.hu</w:t>
      </w:r>
      <w:proofErr w:type="spellStart"/>
      <w:proofErr w:type="spellEnd"/>
    </w:p>
    <w:p w14:paraId="4720226D" w14:textId="77777777"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www.paszto.hu</w:t>
      </w:r>
      <w:proofErr w:type="spellStart"/>
      <w:proofErr w:type="spellEnd"/>
    </w:p>
    <w:p w14:paraId="36D5787F" w14:textId="77777777" w:rsidR="00DC6934" w:rsidRPr="00413AC9" w:rsidRDefault="00CB3ABA" w:rsidP="00413AC9">
      <w:pPr>
        <w:tabs>
          <w:tab w:val="left" w:pos="4111"/>
        </w:tabs>
        <w:spacing w:after="0" w:line="240" w:lineRule="exact"/>
        <w:rPr>
          <w:rFonts w:eastAsia="Times New Roman" w:cstheme="minorHAnsi"/>
          <w:sz w:val="20"/>
          <w:szCs w:val="20"/>
          <w:lang w:eastAsia="hu-HU"/>
        </w:rPr>
      </w:pPr>
      <w:r w:rsidRPr="00CB3ABA">
        <w:rPr>
          <w:rFonts w:eastAsia="Times New Roman" w:cstheme="minorHAnsi"/>
          <w:b/>
          <w:sz w:val="20"/>
          <w:szCs w:val="20"/>
          <w:lang w:eastAsia="hu-HU"/>
        </w:rPr>
        <w:t>Magatartási kódex</w:t>
      </w:r>
      <w:r>
        <w:rPr>
          <w:rFonts w:eastAsia="Times New Roman" w:cstheme="minorHAnsi"/>
          <w:b/>
          <w:sz w:val="20"/>
          <w:szCs w:val="20"/>
          <w:lang w:eastAsia="hu-HU"/>
        </w:rPr>
        <w:t xml:space="preserve"> </w:t>
      </w:r>
      <w:r w:rsidR="00DC6934" w:rsidRPr="00413AC9">
        <w:rPr>
          <w:rFonts w:eastAsia="Times New Roman" w:cstheme="minorHAnsi"/>
          <w:b/>
          <w:sz w:val="20"/>
          <w:szCs w:val="20"/>
          <w:lang w:eastAsia="hu-HU"/>
        </w:rPr>
        <w:t>elérhetősége:</w:t>
      </w:r>
      <w:r w:rsidR="00DC6934" w:rsidRPr="00413AC9">
        <w:rPr>
          <w:rFonts w:eastAsia="Times New Roman" w:cstheme="minorHAnsi"/>
          <w:sz w:val="20"/>
          <w:szCs w:val="20"/>
          <w:lang w:eastAsia="hu-HU"/>
        </w:rPr>
        <w:t xml:space="preserve"> </w:t>
      </w:r>
      <w:proofErr w:type="spellStart"/>
      <w:proofErr w:type="spellEnd"/>
    </w:p>
    <w:p w14:paraId="367C6093" w14:textId="77777777" w:rsidR="00040BB8" w:rsidRPr="00413AC9" w:rsidRDefault="00040BB8" w:rsidP="00413AC9">
      <w:pPr>
        <w:tabs>
          <w:tab w:val="left" w:pos="4111"/>
        </w:tabs>
        <w:spacing w:after="0" w:line="240" w:lineRule="exact"/>
        <w:rPr>
          <w:sz w:val="20"/>
          <w:szCs w:val="20"/>
        </w:rPr>
      </w:pPr>
    </w:p>
    <w:p w14:paraId="5C91C955" w14:textId="77777777"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14:paraId="5FE5AB3A" w14:textId="77777777"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14:paraId="08E6B8C0" w14:textId="77777777"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14:paraId="164A47B6" w14:textId="77777777"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14:paraId="3AADE02B" w14:textId="77777777"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14:paraId="3B7D9D4D" w14:textId="77777777"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14:paraId="5D0857FB" w14:textId="77777777" w:rsidR="00F22BD3" w:rsidRDefault="00F22BD3" w:rsidP="00413AC9">
      <w:pPr>
        <w:spacing w:before="60" w:after="0" w:line="240" w:lineRule="exact"/>
        <w:jc w:val="both"/>
      </w:pPr>
    </w:p>
    <w:p>
      <w:pPr>
        <w:spacing w:after="0"/>
      </w:pPr>
      <w:r>
        <w:rPr>
          <w:sz w:val="20"/>
          <w:u w:val="single"/>
        </w:rPr>
        <w:t xml:space="preserve">Az adatkezelés célja: </w:t>
      </w:r>
      <w:r>
        <w:rPr>
          <w:b w:val="true"/>
          <w:sz w:val="20"/>
        </w:rPr>
        <w:t>Elektronikus ügyintézés</w:t>
      </w:r>
    </w:p>
    <w:p>
      <w:pPr>
        <w:spacing w:after="0"/>
      </w:pPr>
      <w:r>
        <w:rPr>
          <w:sz w:val="20"/>
          <w:u w:val="single"/>
        </w:rPr>
        <w:t xml:space="preserve">Adatkezelés leírása: </w:t>
      </w:r>
      <w:r>
        <w:rPr>
          <w:sz w:val="20"/>
        </w:rPr>
        <w:t>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2015. évi CCXXII. törvény az elektronikus ügyintézés és a bizalmi szolgáltatások általános szabályairól, 257/2016. (VIII. 31.) Korm. rendelet az önkormányzati ASP rendszerről</w:t>
      </w:r>
    </w:p>
    <w:p>
      <w:pPr>
        <w:spacing w:after="0"/>
      </w:pPr>
      <w:r>
        <w:rPr>
          <w:sz w:val="20"/>
          <w:u w:val="single"/>
        </w:rPr>
        <w:t xml:space="preserve">Adatszolgáltatás elmaradásának lehetséges következményei: </w:t>
      </w:r>
      <w:r>
        <w:rPr>
          <w:sz w:val="20"/>
        </w:rPr>
        <w:t>Elektronikus ügyintézésre nem kerül sor</w:t>
      </w:r>
    </w:p>
    <w:p>
      <w:pPr>
        <w:spacing w:after="0"/>
      </w:pPr>
      <w:r>
        <w:rPr>
          <w:sz w:val="20"/>
          <w:u w:val="single"/>
        </w:rPr>
        <w:t xml:space="preserve">Érintettek: </w:t>
      </w:r>
      <w:r>
        <w:rPr>
          <w:sz w:val="20"/>
        </w:rPr>
        <w:t>Ügyfelek, meghatalmazottak</w:t>
      </w:r>
    </w:p>
    <w:p>
      <w:pPr>
        <w:spacing w:after="0"/>
      </w:pPr>
      <w:r>
        <w:rPr>
          <w:sz w:val="20"/>
          <w:u w:val="single"/>
        </w:rPr>
        <w:t xml:space="preserve">Adatok forrása: </w:t>
      </w:r>
      <w:r>
        <w:rPr>
          <w:sz w:val="20"/>
        </w:rPr>
        <w:t>ASP rendszert igénybe vevő önkormányzat természetes személy és jogi személy ügyfelei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Elektronikus ügyintézéshez szükséges személyes adatok</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NISZ Nemzeti Infokommunikációs Szolgáltató Zrt. (1389 Budapest, Pf.: 133.)</w:t>
        <w:cr/>
      </w:r>
    </w:p>
    <w:p>
      <w:pPr>
        <w:spacing w:after="0"/>
      </w:pPr>
      <w:r>
        <w:rPr>
          <w:sz w:val="20"/>
          <w:u w:val="single"/>
        </w:rPr>
        <w:t xml:space="preserve">Az adatkezelés célja: </w:t>
      </w:r>
      <w:r>
        <w:rPr>
          <w:b w:val="true"/>
          <w:sz w:val="20"/>
        </w:rPr>
        <w:t>Hirdetmények elektronikus úton történő kézbesítése</w:t>
      </w:r>
    </w:p>
    <w:p>
      <w:pPr>
        <w:spacing w:after="0"/>
      </w:pPr>
      <w:r>
        <w:rPr>
          <w:sz w:val="20"/>
          <w:u w:val="single"/>
        </w:rPr>
        <w:t xml:space="preserve">Adatkezelés leírása: </w:t>
      </w:r>
      <w:r>
        <w:rPr>
          <w:sz w:val="20"/>
        </w:rPr>
        <w:t>Hirdetmények elektronikus úton történő közzététele, adóvégrehajtás, adótartozás, bírósági eljárás és más közigazgatási szerv megkeresése során kezelt személyes adatok. A hirdetmény időtartama a 2016. évi CL. törvény
az általános közigazgatási rendtartásról 52.§-a alapján kerül megállapításra. Megőrzési ideje a 78/2012. (XII. 28.) számú az önkormányzati hivatalok egységes irattári tervének kiadásáról szóló BM rendelet alapján két év.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2017. évi CLI. Törvény az adóigazgatási rendtartásról 77/A.§-a Hirdetményi közlés, 2016. évi CL. törvény az általános közigazgatási rendtartásról, 5/2017. (IV. 20.) IM rendelet a büntetőeljárásban alkalmazható hirdetmény útján történő kézbesítés szabályairól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 Általános rész)</w:t>
      </w:r>
    </w:p>
    <w:p>
      <w:pPr>
        <w:spacing w:after="0"/>
      </w:pPr>
      <w:r>
        <w:rPr>
          <w:sz w:val="20"/>
          <w:u w:val="single"/>
        </w:rPr>
        <w:t xml:space="preserve">Adatszolgáltatás elmaradásának lehetséges következményei: </w:t>
      </w:r>
      <w:r>
        <w:rPr>
          <w:sz w:val="20"/>
        </w:rPr>
        <w:t>Az adatkezelő jogi kötelezettségének nem tesz eleget.</w:t>
      </w:r>
    </w:p>
    <w:p>
      <w:pPr>
        <w:spacing w:after="0"/>
      </w:pPr>
      <w:r>
        <w:rPr>
          <w:sz w:val="20"/>
          <w:u w:val="single"/>
        </w:rPr>
        <w:t xml:space="preserve">Érintettek: </w:t>
      </w:r>
      <w:r>
        <w:rPr>
          <w:sz w:val="20"/>
        </w:rPr>
        <w:t>Az eljárásban érintett személy.</w:t>
      </w:r>
    </w:p>
    <w:p>
      <w:pPr>
        <w:spacing w:after="0"/>
      </w:pPr>
      <w:r>
        <w:rPr>
          <w:sz w:val="20"/>
          <w:u w:val="single"/>
        </w:rPr>
        <w:t xml:space="preserve">Adatok forrása: </w:t>
      </w:r>
      <w:r>
        <w:rPr>
          <w:sz w:val="20"/>
        </w:rPr>
        <w:t>Eljáró hatóság</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Név: 2 év; Adóazonosító jel: 2 év; Cím, lakcím: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t/>
      </w:r>
      <w:r>
        <w:rPr>
          <w:sz w:val="20"/>
        </w:rPr>
        <w:t>NISZ Nemzeti Infokommunikációs Szolgáltató Zrt. (1389 Budapest, Pf.: 133.)</w:t>
        <w:cr/>
        <w:t>Magyar Államkincstár (1054 Budapest, Hold u. 4.)</w:t>
        <w:cr/>
      </w:r>
    </w:p>
    <w:p>
      <w:pPr>
        <w:spacing w:after="0"/>
      </w:pPr>
      <w:r>
        <w:rPr>
          <w:sz w:val="20"/>
          <w:u w:val="single"/>
        </w:rPr>
        <w:t xml:space="preserve">Az adatkezelés célja: </w:t>
      </w:r>
      <w:r>
        <w:rPr>
          <w:b w:val="true"/>
          <w:sz w:val="20"/>
        </w:rPr>
        <w:t>Átlátható szervezet tényleges tulajdonosai adatainak kezelése, átláthatósági nyilatkozat</w:t>
      </w:r>
    </w:p>
    <w:p>
      <w:pPr>
        <w:spacing w:after="0"/>
      </w:pPr>
      <w:r>
        <w:rPr>
          <w:sz w:val="20"/>
          <w:u w:val="single"/>
        </w:rPr>
        <w:t xml:space="preserve">Adatkezelés leírása: </w:t>
      </w:r>
      <w:r>
        <w:rPr>
          <w:sz w:val="20"/>
        </w:rPr>
        <w:t>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CXCV. törvény az államháztartásról, 41. § (6), 2011. évi CXCVI. törvény a nemzeti vagyonról, 2000. évi C. törvény a számvitelről (169. §)</w:t>
      </w:r>
    </w:p>
    <w:p>
      <w:pPr>
        <w:spacing w:after="0"/>
      </w:pPr>
      <w:r>
        <w:rPr>
          <w:sz w:val="20"/>
          <w:u w:val="single"/>
        </w:rPr>
        <w:t xml:space="preserve">Adatszolgáltatás elmaradásának lehetséges következményei: </w:t>
      </w:r>
      <w:r>
        <w:rPr>
          <w:sz w:val="20"/>
        </w:rPr>
        <w:t>Szerződés nem köthető, kifizetés nem teljesíthető</w:t>
      </w:r>
    </w:p>
    <w:p>
      <w:pPr>
        <w:spacing w:after="0"/>
      </w:pPr>
      <w:r>
        <w:rPr>
          <w:sz w:val="20"/>
          <w:u w:val="single"/>
        </w:rPr>
        <w:t xml:space="preserve">Érintettek: </w:t>
      </w:r>
      <w:r>
        <w:rPr>
          <w:sz w:val="20"/>
        </w:rPr>
        <w:t>Tényleges tulajdonosok</w:t>
      </w:r>
    </w:p>
    <w:p>
      <w:pPr>
        <w:spacing w:after="0"/>
      </w:pPr>
      <w:r>
        <w:rPr>
          <w:sz w:val="20"/>
          <w:u w:val="single"/>
        </w:rPr>
        <w:t xml:space="preserve">Adatok forrása: </w:t>
      </w:r>
      <w:r>
        <w:rPr>
          <w:sz w:val="20"/>
        </w:rPr>
        <w:t>Átláthatósági nyilatkozatra kötelezett jogi személy, jogi személyiséggel nem rendelkező szervezet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Tényleges tulajdonosok neve; Tényleges tulajdonosok születési helye, ideje; Tényleges tulajdonosok anyja neve; Nyilatkozatot tevő aláírása</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Közérdekű és közérdekből nyilvános adatok kezelése</w:t>
      </w:r>
    </w:p>
    <w:p>
      <w:pPr>
        <w:spacing w:after="0"/>
      </w:pPr>
      <w:r>
        <w:rPr>
          <w:sz w:val="20"/>
          <w:u w:val="single"/>
        </w:rPr>
        <w:t xml:space="preserve">Adatkezelés leírása: </w:t>
      </w:r>
      <w:r>
        <w:rPr>
          <w:sz w:val="20"/>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Az adatigénylés nem lehetséges</w:t>
      </w:r>
    </w:p>
    <w:p>
      <w:pPr>
        <w:spacing w:after="0"/>
      </w:pPr>
      <w:r>
        <w:rPr>
          <w:sz w:val="20"/>
          <w:u w:val="single"/>
        </w:rPr>
        <w:t xml:space="preserve">Érintettek: </w:t>
      </w:r>
      <w:r>
        <w:rPr>
          <w:sz w:val="20"/>
        </w:rPr>
        <w:t>Adatigénylő, adatigényléssel érintett</w:t>
      </w:r>
    </w:p>
    <w:p>
      <w:pPr>
        <w:spacing w:after="0"/>
      </w:pPr>
      <w:r>
        <w:rPr>
          <w:sz w:val="20"/>
          <w:u w:val="single"/>
        </w:rPr>
        <w:t xml:space="preserve">Adatok forrása: </w:t>
      </w:r>
      <w:r>
        <w:rPr>
          <w:sz w:val="20"/>
        </w:rPr>
        <w:t>Adatigénylő természetes személy</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Adatigénylő neve: 2 év; Adatigénylő lakcíme: 2 év; Adatigénylő aláírása: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Panasz és a közérdekű bejelentés</w:t>
      </w:r>
    </w:p>
    <w:p>
      <w:pPr>
        <w:spacing w:after="0"/>
      </w:pPr>
      <w:r>
        <w:rPr>
          <w:sz w:val="20"/>
          <w:u w:val="single"/>
        </w:rPr>
        <w:t xml:space="preserve">Adatkezelés leírása: </w:t>
      </w:r>
      <w:r>
        <w:rPr>
          <w:sz w:val="20"/>
        </w:rPr>
        <w:t>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2013. évi CLXV. törvény a panaszokról és a közérdekű bejelentésekről 1.§ (1), 16. §, 2016. évi CL. törvény az általános közigazgatási rendtartásról, 78/2012. (XII. 28.) számú az önkormányzati hivatalok egységes irattári tervének kiadásáról szóló BM rendelet melléklete (Az egységes irattári terv), 1995. évi LXVI. törvény a köziratokról, a közlevéltárakról és a magánlevéltári anyag védelméről, 335/2005. (XII. 29.) Korm. rendelet a közfeladatot ellátó szervek iratkezelésének általános követelményeiről</w:t>
      </w:r>
    </w:p>
    <w:p>
      <w:pPr>
        <w:spacing w:after="0"/>
      </w:pPr>
      <w:r>
        <w:rPr>
          <w:sz w:val="20"/>
          <w:u w:val="single"/>
        </w:rPr>
        <w:t xml:space="preserve">Adatszolgáltatás elmaradásának lehetséges következményei: </w:t>
      </w:r>
      <w:r>
        <w:rPr>
          <w:sz w:val="20"/>
        </w:rPr>
        <w:t>Nem kötelező adatszolgáltatás</w:t>
      </w:r>
    </w:p>
    <w:p>
      <w:pPr>
        <w:spacing w:after="0"/>
      </w:pPr>
      <w:r>
        <w:rPr>
          <w:sz w:val="20"/>
          <w:u w:val="single"/>
        </w:rPr>
        <w:t xml:space="preserve">Érintettek: </w:t>
      </w:r>
      <w:r>
        <w:rPr>
          <w:sz w:val="20"/>
        </w:rPr>
        <w:t>Panaszos, bejelentő, bejelentésben érintett személy</w:t>
      </w:r>
    </w:p>
    <w:p>
      <w:pPr>
        <w:spacing w:after="0"/>
      </w:pPr>
      <w:r>
        <w:rPr>
          <w:sz w:val="20"/>
          <w:u w:val="single"/>
        </w:rPr>
        <w:t xml:space="preserve">Adatok forrása: </w:t>
      </w:r>
      <w:r>
        <w:rPr>
          <w:sz w:val="20"/>
        </w:rPr>
        <w:t>Panaszos, bejelentő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Természetes személyazonosító adatok: 2 év; Kapcsolattartáshoz szükséges elérhetőségi adatok: 2 év; A bejelentésében foglalt további személyes adatok: 2 év; Aláírás (telefonon vagy egyéb elektronikus hírközlési szolgáltatás felhasználásával közölt szóbeli panasz kivételével): 2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Panasz vagy a közérdekű bejelentés alapján kezdeményezett eljárás lefolytatására hatáskörrel rendelkező szerv (2013. évi CLXV. törvény 1. § (5), 3. § (3))</w:t>
        <w:cr/>
      </w:r>
    </w:p>
    <w:p>
      <w:pPr>
        <w:spacing w:after="0"/>
      </w:pPr>
      <w:r>
        <w:rPr>
          <w:sz w:val="20"/>
          <w:u w:val="single"/>
        </w:rPr>
        <w:t xml:space="preserve">Az adatkezelés célja: </w:t>
      </w:r>
      <w:r>
        <w:rPr>
          <w:b w:val="true"/>
          <w:sz w:val="20"/>
        </w:rPr>
        <w:t>Érdeklődőkkel való kapcsolattartás, levelezés</w:t>
      </w:r>
    </w:p>
    <w:p>
      <w:pPr>
        <w:spacing w:after="0"/>
      </w:pPr>
      <w:r>
        <w:rPr>
          <w:sz w:val="20"/>
          <w:u w:val="single"/>
        </w:rPr>
        <w:t xml:space="preserve">Adatkezelés leírása: </w:t>
      </w:r>
      <w:r>
        <w:rPr>
          <w:sz w:val="20"/>
        </w:rPr>
        <w:t>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5 évig.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
    <w:p>
      <w:pPr>
        <w:spacing w:after="0"/>
      </w:pPr>
      <w:r>
        <w:rPr>
          <w:sz w:val="20"/>
          <w:u w:val="single"/>
        </w:rPr>
        <w:t xml:space="preserve">Az adatkezelés jogalapja: </w:t>
      </w:r>
      <w:r>
        <w:rPr>
          <w:sz w:val="20"/>
        </w:rPr>
        <w:t>Érintett hozzájárulása</w:t>
      </w:r>
    </w:p>
    <w:p>
      <w:pPr>
        <w:spacing w:after="0"/>
      </w:pPr>
      <w:r>
        <w:rPr>
          <w:sz w:val="20"/>
          <w:u w:val="single"/>
        </w:rPr>
        <w:t xml:space="preserve">Vonatkozó jogszabály(ok): </w:t>
      </w:r>
      <w:r>
        <w:rPr>
          <w:sz w:val="20"/>
        </w:rPr>
        <w:t>2011. évi CXII. törvény az információs önrendelkezési jogról és az információszabadságról</w:t>
      </w:r>
    </w:p>
    <w:p>
      <w:pPr>
        <w:spacing w:after="0"/>
      </w:pPr>
      <w:r>
        <w:rPr>
          <w:sz w:val="20"/>
          <w:u w:val="single"/>
        </w:rPr>
        <w:t xml:space="preserve">Adatszolgáltatás elmaradásának lehetséges következményei: </w:t>
      </w:r>
      <w:r>
        <w:rPr>
          <w:sz w:val="20"/>
        </w:rPr>
        <w:t>Érdeklődő elektronikusan nem tudja eljuttatni üzenetét</w:t>
      </w:r>
    </w:p>
    <w:p>
      <w:pPr>
        <w:spacing w:after="0"/>
      </w:pPr>
      <w:r>
        <w:rPr>
          <w:sz w:val="20"/>
          <w:u w:val="single"/>
        </w:rPr>
        <w:t xml:space="preserve">Érintettek: </w:t>
      </w:r>
      <w:r>
        <w:rPr>
          <w:sz w:val="20"/>
        </w:rPr>
        <w:t>Kapcsolatfelvételt kezdeményezők</w:t>
      </w:r>
    </w:p>
    <w:p>
      <w:pPr>
        <w:spacing w:after="0"/>
      </w:pPr>
      <w:r>
        <w:rPr>
          <w:sz w:val="20"/>
          <w:u w:val="single"/>
        </w:rPr>
        <w:t xml:space="preserve">Adatok forrása: </w:t>
      </w:r>
      <w:r>
        <w:rPr>
          <w:sz w:val="20"/>
        </w:rPr>
        <w:t>Érdeklődők</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Érdeklődő neve: Visszavonásig vagy 5 év; Érdeklődő kapcsolattartásra megadott elérhetőségi adatai: Visszavonásig vagy 5 év; Önként megadott egyéb személyes adatok: Visszavonásig vagy 5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w:t>
        <w:cr/>
      </w:r>
    </w:p>
    <w:p>
      <w:pPr>
        <w:spacing w:after="0"/>
      </w:pPr>
      <w:r>
        <w:rPr>
          <w:sz w:val="20"/>
          <w:u w:val="single"/>
        </w:rPr>
        <w:t xml:space="preserve">Az adatkezelés célja: </w:t>
      </w:r>
      <w:r>
        <w:rPr>
          <w:b w:val="true"/>
          <w:sz w:val="20"/>
        </w:rPr>
        <w:t>Árajánlat készítése</w:t>
      </w:r>
    </w:p>
    <w:p>
      <w:pPr>
        <w:spacing w:after="0"/>
      </w:pPr>
      <w:r>
        <w:rPr>
          <w:sz w:val="20"/>
          <w:u w:val="single"/>
        </w:rPr>
        <w:t xml:space="preserve">Adatkezelés leírása: </w:t>
      </w:r>
      <w:r>
        <w:rPr>
          <w:sz w:val="20"/>
        </w:rPr>
        <w:t>Árajánlat készítéséhez, árajánlatkérő azonosító és kapcsolattartási adatainak, egyéb opcionálisan megadott adatoknak a kezelése az ajánlatkérő azonosítása, kapcsolattartás (pl. adatpontosítás, helyszíni felmérés, időpont egyeztetés) céljából.
Adatkezelés időtartama: ha a szerződés nem jön létre, akkor egyedileg meghatározva az ajánlat érvényességéig, a Polgári Törvénykönyvről szóló 2013. évi V. törvény 6:64. § szerinti ajánlati kötöttség fennálltáig, maximum 1 évig. 
Amennyiben az ajánlatkérő az ajánlatot elfogadja, akkor adatkezelő az adatokat egyéb adatkezelés során kezeli tovább.</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2013. évi V. törvény a Polgári Törvénykönyvről, 6:63. §-6:68. §</w:t>
      </w:r>
    </w:p>
    <w:p>
      <w:pPr>
        <w:spacing w:after="0"/>
      </w:pPr>
      <w:r>
        <w:rPr>
          <w:sz w:val="20"/>
          <w:u w:val="single"/>
        </w:rPr>
        <w:t xml:space="preserve">Adatszolgáltatás elmaradásának lehetséges következményei: </w:t>
      </w:r>
      <w:r>
        <w:rPr>
          <w:sz w:val="20"/>
        </w:rPr>
        <w:t>Árajánlat nem készíthető</w:t>
      </w:r>
    </w:p>
    <w:p>
      <w:pPr>
        <w:spacing w:after="0"/>
      </w:pPr>
      <w:r>
        <w:rPr>
          <w:sz w:val="20"/>
          <w:u w:val="single"/>
        </w:rPr>
        <w:t xml:space="preserve">Érintettek: </w:t>
      </w:r>
      <w:r>
        <w:rPr>
          <w:sz w:val="20"/>
        </w:rPr>
        <w:t>Ajánlatkérő, természetes személy kapcsolattartója</w:t>
      </w:r>
    </w:p>
    <w:p>
      <w:pPr>
        <w:spacing w:after="0"/>
      </w:pPr>
      <w:r>
        <w:rPr>
          <w:sz w:val="20"/>
          <w:u w:val="single"/>
        </w:rPr>
        <w:t xml:space="preserve">Adatok forrása: </w:t>
      </w:r>
      <w:r>
        <w:rPr>
          <w:sz w:val="20"/>
        </w:rPr>
        <w:t>Ajánlatkérő</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Ajánlatkérő neve: 1 év; Ajánlatkérő címe: 1 év; Ajánlatkérő kapcsolattartásra megadott elérhetőségi adatai: 1 év; Ajánlatkérő által megadott egyéb személyes adatok: 1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Levelezőrendszer üzemeltető ()</w:t>
        <w:cr/>
      </w:r>
    </w:p>
    <w:p>
      <w:pPr>
        <w:spacing w:after="0"/>
      </w:pPr>
      <w:r>
        <w:rPr>
          <w:sz w:val="20"/>
          <w:u w:val="single"/>
        </w:rPr>
        <w:t xml:space="preserve">Az adatkezelés célja: </w:t>
      </w:r>
      <w:r>
        <w:rPr>
          <w:b w:val="true"/>
          <w:sz w:val="20"/>
        </w:rPr>
        <w:t>Adó- és számviteli kötelezettségek teljesítése, vevő/szállító természetes személyek adatkezelése</w:t>
      </w:r>
    </w:p>
    <w:p>
      <w:pPr>
        <w:spacing w:after="0"/>
      </w:pPr>
      <w:r>
        <w:rPr>
          <w:sz w:val="20"/>
          <w:u w:val="single"/>
        </w:rPr>
        <w:t xml:space="preserve">Adatkezelés leírása: </w:t>
      </w:r>
      <w:r>
        <w:rPr>
          <w:sz w:val="20"/>
        </w:rPr>
        <w:t>A vevőként, szállítóként üzleti kapcsolatba lépő természetes személyek törvényben meghatározott adatainak kezelése adatkezelő előírt adó- és számviteli kötelezettségeinek teljesítése (pénzügyi teljesítés, számlázás, könyvelés, adózás) és dokumentálása céljából.</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2007. évi CXXVII. törvény az általános forgalmi adóról, 2000. évi C. törvény a számvitelről,169. § (2)</w:t>
      </w:r>
    </w:p>
    <w:p>
      <w:pPr>
        <w:spacing w:after="0"/>
      </w:pPr>
      <w:r>
        <w:rPr>
          <w:sz w:val="20"/>
          <w:u w:val="single"/>
        </w:rPr>
        <w:t xml:space="preserve">Adatszolgáltatás elmaradásának lehetséges következményei: </w:t>
      </w:r>
      <w:r>
        <w:rPr>
          <w:sz w:val="20"/>
        </w:rPr>
        <w:t>Adó- és számviteli kötelezettségeinek teljesítése nem valósul meg</w:t>
      </w:r>
    </w:p>
    <w:p>
      <w:pPr>
        <w:spacing w:after="0"/>
      </w:pPr>
      <w:r>
        <w:rPr>
          <w:sz w:val="20"/>
          <w:u w:val="single"/>
        </w:rPr>
        <w:t xml:space="preserve">Érintettek: </w:t>
      </w:r>
      <w:r>
        <w:rPr>
          <w:sz w:val="20"/>
        </w:rPr>
        <w:t>Vevő, szállító természetes személy adatok</w:t>
      </w:r>
    </w:p>
    <w:p>
      <w:pPr>
        <w:spacing w:after="0"/>
      </w:pPr>
      <w:r>
        <w:rPr>
          <w:sz w:val="20"/>
          <w:u w:val="single"/>
        </w:rPr>
        <w:t xml:space="preserve">Adatok forrása: </w:t>
      </w:r>
      <w:r>
        <w:rPr>
          <w:sz w:val="20"/>
        </w:rPr>
        <w:t>Vevő, szállító</w:t>
      </w:r>
    </w:p>
    <w:p>
      <w:pPr>
        <w:spacing w:after="0"/>
      </w:pPr>
      <w:r>
        <w:rPr>
          <w:sz w:val="20"/>
          <w:u w:val="single"/>
        </w:rPr>
        <w:t xml:space="preserve">Adatkezelés tervezett időtartamának alapja: </w:t>
      </w:r>
      <w:r>
        <w:rPr>
          <w:sz w:val="20"/>
        </w:rPr>
        <w:t>Az adatkezelés kezdete</w:t>
      </w:r>
    </w:p>
    <w:p>
      <w:pPr>
        <w:spacing w:after="0"/>
      </w:pPr>
      <w:r>
        <w:rPr>
          <w:sz w:val="20"/>
          <w:u w:val="single"/>
        </w:rPr>
        <w:t xml:space="preserve">A kezelt adatok köre, időtartama: </w:t>
      </w:r>
      <w:r>
        <w:rPr>
          <w:sz w:val="20"/>
        </w:rPr>
        <w:t>Termék beszerzőjének/szolgáltatás igénybevevőjének neve, címe, adószáma: 8 év; Termék értékesítőjének, szolgáltatás nyújtójának neve, címe, adószáma: 8 év</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Pályázati forrásból megvalósuló beruházásokkal kapcsolatos, jogviszonyban álló személyek adatkezelése</w:t>
      </w:r>
    </w:p>
    <w:p>
      <w:pPr>
        <w:spacing w:after="0"/>
      </w:pPr>
      <w:r>
        <w:rPr>
          <w:sz w:val="20"/>
          <w:u w:val="single"/>
        </w:rPr>
        <w:t xml:space="preserve">Adatkezelés leírása: </w:t>
      </w:r>
      <w:r>
        <w:rPr>
          <w:sz w:val="20"/>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
    <w:p>
      <w:pPr>
        <w:spacing w:after="0"/>
      </w:pPr>
      <w:r>
        <w:rPr>
          <w:sz w:val="20"/>
          <w:u w:val="single"/>
        </w:rPr>
        <w:t xml:space="preserve">Az adatkezelés jogalapja: </w:t>
      </w:r>
      <w:r>
        <w:rPr>
          <w:sz w:val="20"/>
        </w:rPr>
        <w:t>Szerződés teljesítéséhez vagy megkötését megelőzően érintett kérésére történő lépések megtételéhez szükséges</w:t>
      </w:r>
    </w:p>
    <w:p>
      <w:pPr>
        <w:spacing w:after="0"/>
      </w:pPr>
      <w:r>
        <w:rPr>
          <w:sz w:val="20"/>
          <w:u w:val="single"/>
        </w:rPr>
        <w:t xml:space="preserve">Vonatkozó jogszabály(ok): </w:t>
      </w:r>
      <w:r>
        <w:rPr>
          <w:sz w:val="20"/>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
    <w:p>
      <w:pPr>
        <w:spacing w:after="0"/>
      </w:pPr>
      <w:r>
        <w:rPr>
          <w:sz w:val="20"/>
          <w:u w:val="single"/>
        </w:rPr>
        <w:t xml:space="preserve">Adatszolgáltatás elmaradásának lehetséges következményei: </w:t>
      </w:r>
      <w:r>
        <w:rPr>
          <w:sz w:val="20"/>
        </w:rPr>
        <w:t>Beszerzési eljárás részvétele nem lehetséges</w:t>
      </w:r>
    </w:p>
    <w:p>
      <w:pPr>
        <w:spacing w:after="0"/>
      </w:pPr>
      <w:r>
        <w:rPr>
          <w:sz w:val="20"/>
          <w:u w:val="single"/>
        </w:rPr>
        <w:t xml:space="preserve">Érintettek: </w:t>
      </w:r>
      <w:r>
        <w:rPr>
          <w:sz w:val="20"/>
        </w:rPr>
        <w:t>Pályázó képviselője, kapcsolattartói, projektkezelői, a projektben részt vevő további személyek, ajánlattevők, alvállalkozók</w:t>
      </w:r>
    </w:p>
    <w:p>
      <w:pPr>
        <w:spacing w:after="0"/>
      </w:pPr>
      <w:r>
        <w:rPr>
          <w:sz w:val="20"/>
          <w:u w:val="single"/>
        </w:rPr>
        <w:t xml:space="preserve">Adatok forrása: </w:t>
      </w:r>
      <w:r>
        <w:rPr>
          <w:sz w:val="20"/>
        </w:rPr>
        <w:t>Pályázat érintettjei vagy szerződéses partnerei</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Természetes személyazonosító adatok; Kapcsolattartáshoz szükséges elérhetőségi adatok; A beszerzési eljárás előkészítésével, lefolytatásával kapcsolatban keletkezett további személyes adatok</w:t>
      </w:r>
    </w:p>
    <w:p>
      <w:pPr>
        <w:spacing w:after="0"/>
      </w:pPr>
      <w:r>
        <w:rPr>
          <w:sz w:val="20"/>
          <w:u w:val="single"/>
        </w:rPr>
        <w:t xml:space="preserve">Különleges személyes adatok: </w:t>
      </w:r>
      <w:r>
        <w:rPr>
          <w:sz w:val="20"/>
        </w:rPr>
        <w:t>Bűnügyi személyes adatok kezelése (2015. évi CXLIII. törvény 9. § (1) b) pontja szerinti beszerzés során) (9. cikk (2) a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r>
    </w:p>
    <w:p>
      <w:pPr>
        <w:spacing w:after="0"/>
      </w:pPr>
      <w:r>
        <w:rPr>
          <w:sz w:val="20"/>
          <w:u w:val="single"/>
        </w:rPr>
        <w:t xml:space="preserve">Címzettek: </w:t>
      </w:r>
      <w:r>
        <w:rPr>
          <w:sz w:val="20"/>
        </w:rPr>
        <w:t/>
        <w:t>Az Adatkezelő nevében eljáró adatfeldolgozók (pályázatírók, tanácsadók, projektmenedzserek), Támogatáskezelő szerv</w:t>
        <w:cr/>
      </w:r>
    </w:p>
    <w:p>
      <w:pPr>
        <w:spacing w:after="0"/>
      </w:pPr>
      <w:r>
        <w:rPr>
          <w:sz w:val="20"/>
          <w:u w:val="single"/>
        </w:rPr>
        <w:t xml:space="preserve">Az adatkezelés célja: </w:t>
      </w:r>
      <w:r>
        <w:rPr>
          <w:b w:val="true"/>
          <w:sz w:val="20"/>
        </w:rPr>
        <w:t>GDPR rendelettel összefüggő ügyfél adatkezelés</w:t>
      </w:r>
    </w:p>
    <w:p>
      <w:pPr>
        <w:spacing w:after="0"/>
      </w:pPr>
      <w:r>
        <w:rPr>
          <w:sz w:val="20"/>
          <w:u w:val="single"/>
        </w:rPr>
        <w:t xml:space="preserve">Adatkezelés leírása: </w:t>
      </w:r>
      <w:r>
        <w:rPr>
          <w:sz w:val="20"/>
        </w:rPr>
        <w:t>Adatkezelőre vonatkozó adatvédelmi előírások teljesítése, megfelelőség igazolása GDPReg  adatkezelési nyilvántartó szoftver támogatással. Adatvédelmi incidensek, érintetti igények nyilvántartása, kezelése, dokumentálása, az átlátható tájékoztatás, kommunikáció és az érintett jogainak gyakorlása céljából. 
Adatkezelés ideje a természetes személyhez rendelt egyedi adatkezelések idejétől függő, annak lejártáig tart.</w:t>
      </w:r>
    </w:p>
    <w:p>
      <w:pPr>
        <w:spacing w:after="0"/>
      </w:pPr>
      <w:r>
        <w:rPr>
          <w:sz w:val="20"/>
          <w:u w:val="single"/>
        </w:rPr>
        <w:t xml:space="preserve">Az adatkezelés jogalapja: </w:t>
      </w:r>
      <w:r>
        <w:rPr>
          <w:sz w:val="20"/>
        </w:rPr>
        <w:t>Az adatkezelő jogi kötelezettségének teljesítéséhez szükséges</w:t>
      </w:r>
    </w:p>
    <w:p>
      <w:pPr>
        <w:spacing w:after="0"/>
      </w:pPr>
      <w:r>
        <w:rPr>
          <w:sz w:val="20"/>
          <w:u w:val="single"/>
        </w:rPr>
        <w:t xml:space="preserve">Vonatkozó jogszabály(ok): </w:t>
      </w:r>
      <w:r>
        <w:rPr>
          <w:sz w:val="20"/>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
    <w:p>
      <w:pPr>
        <w:spacing w:after="0"/>
      </w:pPr>
      <w:r>
        <w:rPr>
          <w:sz w:val="20"/>
          <w:u w:val="single"/>
        </w:rPr>
        <w:t xml:space="preserve">Adatszolgáltatás elmaradásának lehetséges következményei: </w:t>
      </w:r>
      <w:r>
        <w:rPr>
          <w:sz w:val="20"/>
        </w:rPr>
        <w:t>Adatkezelő nem tudja teljesíteni jogi kötelezettségét (bekövetkezhet a személyes adatok jogtalan tárolása és kezelése, valamint hatósági elmarasztalások)</w:t>
      </w:r>
    </w:p>
    <w:p>
      <w:pPr>
        <w:spacing w:after="0"/>
      </w:pPr>
      <w:r>
        <w:rPr>
          <w:sz w:val="20"/>
          <w:u w:val="single"/>
        </w:rPr>
        <w:t xml:space="preserve">Érintettek: </w:t>
      </w:r>
      <w:r>
        <w:rPr>
          <w:sz w:val="20"/>
        </w:rPr>
        <w:t>Adatkezelő, adatfeldolgozó természetes személy ügyfelei, személyes adatkezelésben érintettek</w:t>
      </w:r>
    </w:p>
    <w:p>
      <w:pPr>
        <w:spacing w:after="0"/>
      </w:pPr>
      <w:r>
        <w:rPr>
          <w:sz w:val="20"/>
          <w:u w:val="single"/>
        </w:rPr>
        <w:t xml:space="preserve">Adatok forrása: </w:t>
      </w:r>
      <w:r>
        <w:rPr>
          <w:sz w:val="20"/>
        </w:rPr>
        <w:t>Érintett, ügyfél, természetes személy</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Kérelmet benyújtó érintett azonosító adatai; Érintetti kérelem, dátuma, típusa, tartalma, eredménye; Incidens dátuma, dokumentációja, eredménye</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GDPReg Kft. (3715 Gesztely, Sport u. 15.)</w:t>
        <w:cr/>
      </w:r>
    </w:p>
    <w:p>
      <w:pPr>
        <w:spacing w:after="0"/>
      </w:pPr>
      <w:r>
        <w:rPr>
          <w:sz w:val="20"/>
          <w:u w:val="single"/>
        </w:rPr>
        <w:t xml:space="preserve">Az adatkezelés célja: </w:t>
      </w:r>
      <w:r>
        <w:rPr>
          <w:b w:val="true"/>
          <w:sz w:val="20"/>
        </w:rPr>
        <w:t>Humánjárvány idején belépők, látogatók ellenőrzése, nyilatkozata</w:t>
      </w:r>
    </w:p>
    <w:p>
      <w:pPr>
        <w:spacing w:after="0"/>
      </w:pPr>
      <w:r>
        <w:rPr>
          <w:sz w:val="20"/>
          <w:u w:val="single"/>
        </w:rPr>
        <w:t xml:space="preserve">Adatkezelés leírása: </w:t>
      </w:r>
      <w:r>
        <w:rPr>
          <w:sz w:val="20"/>
        </w:rPr>
        <w:t>A belépésre, látogatásra vonatkozó szabályok betartatásának ellenőrzése, nyilvántartása, nyilatkozat saját egészségügyi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hatósági, jogszabályi vagy Adatkezelő által meghatározott előírásoknak megfelelő ideig, ennek hiányában a rendkívüli intézkedések megszűnéséig.</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Magyarország Alaptörvénye: A különleges jogrend, a rendkívüli állapotra a szükségállapotra vonatkozó közös szabályokban meghatározott pontok 48-49-50-51-51/A-52-53-54. cikk, 2011. évi CXXVIII. törvény a katasztrófavédelemről és a hozzá kapcsolódó egyes törvények módosításáról</w:t>
      </w:r>
    </w:p>
    <w:p>
      <w:pPr>
        <w:spacing w:after="0"/>
      </w:pPr>
      <w:r>
        <w:rPr>
          <w:sz w:val="20"/>
          <w:u w:val="single"/>
        </w:rPr>
        <w:t xml:space="preserve">Adatszolgáltatás elmaradásának lehetséges következményei: </w:t>
      </w:r>
      <w:r>
        <w:rPr>
          <w:sz w:val="20"/>
        </w:rPr>
        <w:t>Közérdekből vagy közhatalom gyakorlásához szükséges adatkezelés.</w:t>
      </w:r>
    </w:p>
    <w:p>
      <w:pPr>
        <w:spacing w:after="0"/>
      </w:pPr>
      <w:r>
        <w:rPr>
          <w:sz w:val="20"/>
          <w:u w:val="single"/>
        </w:rPr>
        <w:t xml:space="preserve">Érintettek: </w:t>
      </w:r>
      <w:r>
        <w:rPr>
          <w:sz w:val="20"/>
        </w:rPr>
        <w:t>Látogatók</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Adatkezelés céljához szükséges személyes adatok; Aláírás</w:t>
      </w:r>
    </w:p>
    <w:p>
      <w:pPr>
        <w:spacing w:after="0"/>
      </w:pPr>
      <w:r>
        <w:rPr>
          <w:sz w:val="20"/>
          <w:u w:val="single"/>
        </w:rPr>
        <w:t xml:space="preserve">Különleges személyes adatok: </w:t>
      </w:r>
      <w:r>
        <w:rPr>
          <w:sz w:val="20"/>
        </w:rPr>
        <w:t>Látogató személyazonosságának megállapításához szükséges személyes adatok (9. cikk (2) i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Adatfeldolgozók: </w:t>
      </w:r>
      <w:r>
        <w:rPr>
          <w:sz w:val="20"/>
        </w:rPr>
        <w:t/>
      </w:r>
    </w:p>
    <w:p>
      <w:pPr>
        <w:spacing w:after="0"/>
      </w:pPr>
      <w:r>
        <w:rPr>
          <w:sz w:val="20"/>
          <w:u w:val="single"/>
        </w:rPr>
        <w:t/>
      </w:r>
      <w:r>
        <w:rPr>
          <w:sz w:val="20"/>
        </w:rPr>
        <w:t>Magyar Államkincstár (1054 Budapest, Hold u. 4.)</w:t>
        <w:cr/>
      </w:r>
    </w:p>
    <w:p>
      <w:pPr>
        <w:spacing w:after="0"/>
      </w:pPr>
      <w:r>
        <w:rPr>
          <w:sz w:val="20"/>
          <w:u w:val="single"/>
        </w:rPr>
        <w:t xml:space="preserve">Az adatkezelés célja: </w:t>
      </w:r>
      <w:r>
        <w:rPr>
          <w:b w:val="true"/>
          <w:sz w:val="20"/>
        </w:rPr>
        <w:t>A koronavírus (Covid-19) járvány miatt alkalmazott testhőmérséklet-mérés</w:t>
      </w:r>
    </w:p>
    <w:p>
      <w:pPr>
        <w:spacing w:after="0"/>
      </w:pPr>
      <w:r>
        <w:rPr>
          <w:sz w:val="20"/>
          <w:u w:val="single"/>
        </w:rPr>
        <w:t xml:space="preserve">Adatkezelés leírása: </w:t>
      </w:r>
      <w:r>
        <w:rPr>
          <w:sz w:val="20"/>
        </w:rPr>
        <w:t>A koronavírus (Covid-19) járvány miatt alkalmazott testhőmérséklet-mérés, diagnosztikai eszközökkel, digitális és/vagy analóg lázmérőkkel végzett manuális vagy automatizált testhőmérséklet ellenőrzés a tömeges megbetegedést okozó humánjárvány terjedésének megakadályozása céljából. A belépési jogosultság megállapítása a mért testhőmérséklet alapján. 
A mérésre az adatkezelő tulajdonában, használatában álló területére, épületeibe történő beléptetés során kerül sor a NAIH ajánlásának megfelelően,  valamennyi belépni szándékozó személyre egységesen kiterjed, az a testhőmérséklet-mérés alanyának kifejezetten ezen adatkezelési cél érdekében történő azonosításához nem kötött, és nem történik a mérés során adatrögzítés, tárolás, adattovábbítás.
A mérés során a 37,8 °C testhőmérsékletet meghaladó személyek nem léphetnek be az adatkezelő által felügyelt területre, kivétel az előző mérést követően 15 perc múlva végrehajtott mérés megfelelő eredménye, vagy orvos által kiállított dokumentum alapján (annak igazolására, hogy az érintett személy a magasabb testhőmérséklet ellenére jogosult közösségbe menni).
Az adatkezelés a megtekintés idejéig történik.</w:t>
      </w:r>
    </w:p>
    <w:p>
      <w:pPr>
        <w:spacing w:after="0"/>
      </w:pPr>
      <w:r>
        <w:rPr>
          <w:sz w:val="20"/>
          <w:u w:val="single"/>
        </w:rPr>
        <w:t xml:space="preserve">Az adatkezelés jogalapja: </w:t>
      </w:r>
      <w:r>
        <w:rPr>
          <w:sz w:val="20"/>
        </w:rPr>
        <w:t>Közérdekből vagy közhatalmi jogosítvány gyakorlásához</w:t>
      </w:r>
    </w:p>
    <w:p>
      <w:pPr>
        <w:spacing w:after="0"/>
      </w:pPr>
      <w:r>
        <w:rPr>
          <w:sz w:val="20"/>
          <w:u w:val="single"/>
        </w:rPr>
        <w:t xml:space="preserve">Vonatkozó jogszabály(ok): </w:t>
      </w:r>
      <w:r>
        <w:rPr>
          <w:sz w:val="20"/>
        </w:rPr>
        <w:t>283/2020.  (VI.  17.) Korm.  rendelet a járványügyi készültség bevezetéséről vagy egyéb, e tárgyú jogszabály</w:t>
      </w:r>
    </w:p>
    <w:p>
      <w:pPr>
        <w:spacing w:after="0"/>
      </w:pPr>
      <w:r>
        <w:rPr>
          <w:sz w:val="20"/>
          <w:u w:val="single"/>
        </w:rPr>
        <w:t xml:space="preserve">Adatszolgáltatás elmaradásának lehetséges következményei: </w:t>
      </w:r>
      <w:r>
        <w:rPr>
          <w:sz w:val="20"/>
        </w:rPr>
        <w:t>Közérdekből vagy közhatalom gyakorlásához szükséges adatkezelés.</w:t>
      </w:r>
    </w:p>
    <w:p>
      <w:pPr>
        <w:spacing w:after="0"/>
      </w:pPr>
      <w:r>
        <w:rPr>
          <w:sz w:val="20"/>
          <w:u w:val="single"/>
        </w:rPr>
        <w:t xml:space="preserve">Érintettek: </w:t>
      </w:r>
      <w:r>
        <w:rPr>
          <w:sz w:val="20"/>
        </w:rPr>
        <w:t>A megjelölt területre belépő személyek</w:t>
      </w:r>
    </w:p>
    <w:p>
      <w:pPr>
        <w:spacing w:after="0"/>
      </w:pPr>
      <w:r>
        <w:rPr>
          <w:sz w:val="20"/>
          <w:u w:val="single"/>
        </w:rPr>
        <w:t xml:space="preserve">Adatok forrása: </w:t>
      </w:r>
      <w:r>
        <w:rPr>
          <w:sz w:val="20"/>
        </w:rPr>
        <w:t>Érintett</w:t>
      </w:r>
    </w:p>
    <w:p>
      <w:pPr>
        <w:spacing w:after="0"/>
      </w:pPr>
      <w:r>
        <w:rPr>
          <w:sz w:val="20"/>
          <w:u w:val="single"/>
        </w:rPr>
        <w:t xml:space="preserve">Adatkezelés tervezett időtartamának alapja: </w:t>
      </w:r>
      <w:r>
        <w:rPr>
          <w:sz w:val="20"/>
        </w:rPr>
        <w:t>Az adatkezelés céljának megvalósulása</w:t>
      </w:r>
    </w:p>
    <w:p>
      <w:pPr>
        <w:spacing w:after="0"/>
      </w:pPr>
      <w:r>
        <w:rPr>
          <w:sz w:val="20"/>
          <w:u w:val="single"/>
        </w:rPr>
        <w:t xml:space="preserve">A kezelt adatok köre, időtartama: </w:t>
      </w:r>
      <w:r>
        <w:rPr>
          <w:sz w:val="20"/>
        </w:rPr>
        <w:t/>
      </w:r>
    </w:p>
    <w:p>
      <w:pPr>
        <w:spacing w:after="0"/>
      </w:pPr>
      <w:r>
        <w:rPr>
          <w:sz w:val="20"/>
          <w:u w:val="single"/>
        </w:rPr>
        <w:t xml:space="preserve">Különleges személyes adatok: </w:t>
      </w:r>
      <w:r>
        <w:rPr>
          <w:sz w:val="20"/>
        </w:rPr>
        <w:t>Az érintett testhőmérséklete (9. cikk (2) i pont )</w:t>
      </w:r>
    </w:p>
    <w:p>
      <w:pPr>
        <w:spacing w:after="0"/>
      </w:pPr>
      <w:r>
        <w:rPr>
          <w:sz w:val="20"/>
          <w:u w:val="single"/>
        </w:rPr>
        <w:t xml:space="preserve">Harmadik országba történő adattovábbítás garanciái: </w:t>
      </w:r>
      <w:r>
        <w:rPr>
          <w:sz w:val="20"/>
        </w:rPr>
        <w:t>Nem történik harmadik országba adattovábbítás</w:t>
      </w:r>
    </w:p>
    <w:p>
      <w:pPr>
        <w:spacing w:after="0"/>
      </w:pPr>
      <w:r>
        <w:rPr>
          <w:sz w:val="20"/>
          <w:u w:val="single"/>
        </w:rPr>
        <w:t xml:space="preserve">Címzettek: </w:t>
      </w:r>
      <w:r>
        <w:rPr>
          <w:sz w:val="20"/>
        </w:rPr>
        <w:t/>
        <w:t>Nem kerül sor adattovábbításra</w:t>
        <w:cr/>
      </w:r>
    </w:p>
    <w:p w14:paraId="18808E96" w14:textId="77777777" w:rsidR="00D75651" w:rsidRPr="00413AC9" w:rsidRDefault="00D75651" w:rsidP="00413AC9">
      <w:pPr>
        <w:spacing w:before="360" w:after="0" w:line="240" w:lineRule="exact"/>
        <w:rPr>
          <w:b/>
          <w:sz w:val="26"/>
          <w:szCs w:val="26"/>
        </w:rPr>
      </w:pPr>
      <w:r w:rsidRPr="00413AC9">
        <w:rPr>
          <w:b/>
          <w:sz w:val="26"/>
          <w:szCs w:val="26"/>
        </w:rPr>
        <w:t>Az érintett jogai</w:t>
      </w:r>
    </w:p>
    <w:p w14:paraId="16EAC34C" w14:textId="77777777"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14:paraId="4752F3EE" w14:textId="77777777"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14:paraId="5464C993" w14:textId="77777777"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14:paraId="3995FD9F"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14:paraId="4A2F81D8"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14:paraId="1B952771"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14:paraId="4416EA1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14:paraId="3E1EB471" w14:textId="77777777"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14:paraId="3AFD2F37" w14:textId="77777777" w:rsidR="00D75651" w:rsidRPr="009371CD" w:rsidRDefault="00D75651" w:rsidP="00413AC9">
      <w:pPr>
        <w:spacing w:before="180" w:after="0" w:line="240" w:lineRule="exact"/>
        <w:jc w:val="both"/>
        <w:rPr>
          <w:b/>
        </w:rPr>
      </w:pPr>
      <w:r>
        <w:rPr>
          <w:b/>
        </w:rPr>
        <w:t>Helyesbítéshez való jog</w:t>
      </w:r>
      <w:r w:rsidRPr="009371CD">
        <w:rPr>
          <w:b/>
        </w:rPr>
        <w:t>:</w:t>
      </w:r>
    </w:p>
    <w:p w14:paraId="1E09147E" w14:textId="77777777"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14:paraId="5D63F280" w14:textId="77777777" w:rsidR="00D75651" w:rsidRDefault="00D75651" w:rsidP="00413AC9">
      <w:pPr>
        <w:spacing w:before="180" w:after="0" w:line="240" w:lineRule="exact"/>
        <w:jc w:val="both"/>
        <w:rPr>
          <w:b/>
        </w:rPr>
      </w:pPr>
      <w:r>
        <w:rPr>
          <w:b/>
        </w:rPr>
        <w:t>Törléshez való jog</w:t>
      </w:r>
      <w:r w:rsidRPr="009371CD">
        <w:rPr>
          <w:b/>
        </w:rPr>
        <w:t>:</w:t>
      </w:r>
    </w:p>
    <w:p w14:paraId="5E5AF256"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14:paraId="620FC547" w14:textId="77777777"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14:paraId="12100E30"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14:paraId="0CFCEF4E"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14:paraId="5E7528B9"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14:paraId="4FA8338C"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14:paraId="02CE62BF"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14:paraId="42AEE78B" w14:textId="77777777"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14:paraId="4AF59524" w14:textId="77777777"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14:paraId="4A676829" w14:textId="77777777" w:rsidR="00D75651" w:rsidRPr="009371CD" w:rsidRDefault="00D75651" w:rsidP="00413AC9">
      <w:pPr>
        <w:spacing w:before="180" w:after="0" w:line="240" w:lineRule="exact"/>
        <w:jc w:val="both"/>
        <w:rPr>
          <w:b/>
        </w:rPr>
      </w:pPr>
      <w:r>
        <w:rPr>
          <w:b/>
        </w:rPr>
        <w:t>Adatkezelés korlátozásához való jog</w:t>
      </w:r>
      <w:r w:rsidRPr="009371CD">
        <w:rPr>
          <w:b/>
        </w:rPr>
        <w:t>:</w:t>
      </w:r>
    </w:p>
    <w:p w14:paraId="7C13BDD0" w14:textId="77777777"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14:paraId="1C65DB5C" w14:textId="77777777"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14:paraId="0A9D299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14:paraId="4A50950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14:paraId="10717F2A"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14:paraId="6D283763" w14:textId="77777777"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14:paraId="3AE1B598" w14:textId="77777777"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14:paraId="00005FF7" w14:textId="77777777" w:rsidR="00D75651" w:rsidRPr="009371CD" w:rsidRDefault="00D75651" w:rsidP="00413AC9">
      <w:pPr>
        <w:spacing w:before="180" w:after="0" w:line="240" w:lineRule="exact"/>
        <w:jc w:val="both"/>
        <w:rPr>
          <w:b/>
        </w:rPr>
      </w:pPr>
      <w:r>
        <w:rPr>
          <w:b/>
        </w:rPr>
        <w:t>Tiltakozáshoz való jog</w:t>
      </w:r>
      <w:r w:rsidRPr="009371CD">
        <w:rPr>
          <w:b/>
        </w:rPr>
        <w:t>:</w:t>
      </w:r>
    </w:p>
    <w:p w14:paraId="296E2EBE" w14:textId="77777777" w:rsidR="00D75651" w:rsidRPr="00413AC9" w:rsidRDefault="00D75651" w:rsidP="00413AC9">
      <w:pPr>
        <w:spacing w:before="60" w:after="0" w:line="240" w:lineRule="exact"/>
        <w:jc w:val="both"/>
        <w:rPr>
          <w:sz w:val="20"/>
          <w:szCs w:val="20"/>
        </w:rPr>
      </w:pPr>
      <w:r w:rsidRPr="00413AC9">
        <w:rPr>
          <w:sz w:val="20"/>
          <w:szCs w:val="20"/>
        </w:rPr>
        <w:t xml:space="preserve">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w:t>
      </w:r>
      <w:proofErr w:type="spellStart"/>
      <w:r w:rsidRPr="00413AC9">
        <w:rPr>
          <w:sz w:val="20"/>
          <w:szCs w:val="20"/>
        </w:rPr>
        <w:t>erejű</w:t>
      </w:r>
      <w:proofErr w:type="spellEnd"/>
      <w:r w:rsidRPr="00413AC9">
        <w:rPr>
          <w:sz w:val="20"/>
          <w:szCs w:val="20"/>
        </w:rPr>
        <w:t xml:space="preserve">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14:paraId="030408B8" w14:textId="77777777"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14:paraId="4CCF2601" w14:textId="77777777"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14:paraId="41F1BFD2" w14:textId="77777777"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14:paraId="7258A265" w14:textId="77777777" w:rsidR="00F204E4" w:rsidRDefault="00D75651" w:rsidP="00F204E4">
      <w:pPr>
        <w:spacing w:before="180" w:after="0" w:line="240" w:lineRule="exact"/>
        <w:jc w:val="both"/>
        <w:rPr>
          <w:b/>
          <w:sz w:val="20"/>
          <w:szCs w:val="20"/>
        </w:rPr>
      </w:pPr>
      <w:r w:rsidRPr="00413AC9">
        <w:rPr>
          <w:b/>
          <w:sz w:val="20"/>
          <w:szCs w:val="20"/>
        </w:rPr>
        <w:t>Adathordozhatósághoz való jog:</w:t>
      </w:r>
    </w:p>
    <w:p w14:paraId="4D5AE4FE" w14:textId="77777777" w:rsidR="00D75651" w:rsidRPr="00F204E4" w:rsidRDefault="00D75651" w:rsidP="00F204E4">
      <w:pPr>
        <w:spacing w:before="180" w:after="0" w:line="240" w:lineRule="exact"/>
        <w:jc w:val="both"/>
        <w:rPr>
          <w:b/>
          <w:sz w:val="20"/>
          <w:szCs w:val="20"/>
        </w:rPr>
      </w:pPr>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14:paraId="330FB81F" w14:textId="77777777" w:rsidR="00D75651" w:rsidRPr="00413AC9" w:rsidRDefault="00D75651" w:rsidP="00413AC9">
      <w:pPr>
        <w:spacing w:before="360" w:after="0" w:line="240" w:lineRule="exact"/>
        <w:rPr>
          <w:b/>
          <w:sz w:val="26"/>
          <w:szCs w:val="26"/>
        </w:rPr>
      </w:pPr>
      <w:r w:rsidRPr="00413AC9">
        <w:rPr>
          <w:b/>
          <w:sz w:val="26"/>
          <w:szCs w:val="26"/>
        </w:rPr>
        <w:t>Általános szabályok</w:t>
      </w:r>
    </w:p>
    <w:p w14:paraId="7D173A8D" w14:textId="77777777"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7F2E2363" w14:textId="77777777"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8108A06" w14:textId="77777777"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1D8BC1CD" w14:textId="77777777"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14:paraId="1596A31A" w14:textId="77777777"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4EFBD6D0" w14:textId="77777777"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14:paraId="2E6CD682" w14:textId="77777777"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14:paraId="206E171D" w14:textId="77777777"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14:paraId="3A797DDD" w14:textId="6990DA00" w:rsidR="00D75651" w:rsidRPr="00831ADD" w:rsidRDefault="00831ADD" w:rsidP="00413AC9">
      <w:pPr>
        <w:spacing w:before="240" w:after="0" w:line="240" w:lineRule="exact"/>
        <w:jc w:val="both"/>
        <w:rPr>
          <w:sz w:val="20"/>
          <w:szCs w:val="20"/>
          <w:u w:val="single"/>
        </w:rPr>
      </w:pPr>
      <w:r w:rsidRPr="00831ADD">
        <w:rPr>
          <w:sz w:val="20"/>
          <w:szCs w:val="20"/>
          <w:u w:val="single"/>
        </w:rPr>
        <w:t>A NAIH elérhetőségei:</w:t>
      </w:r>
      <w:proofErr w:type="spellStart"/>
      <w:proofErr w:type="spellEnd"/>
    </w:p>
    <w:p w14:paraId="3BDE55D2" w14:textId="77777777" w:rsidR="00831ADD" w:rsidRPr="00831ADD" w:rsidRDefault="00831ADD" w:rsidP="00831ADD">
      <w:pPr>
        <w:spacing w:before="60" w:after="0" w:line="240" w:lineRule="exact"/>
        <w:jc w:val="both"/>
        <w:rPr>
          <w:sz w:val="20"/>
          <w:szCs w:val="20"/>
        </w:rPr>
      </w:pPr>
      <w:r w:rsidRPr="00831ADD">
        <w:rPr>
          <w:sz w:val="20"/>
          <w:szCs w:val="20"/>
        </w:rPr>
        <w:t>1055 Budapest, Falk Miksa utca 9-11., Postacím: 1363 Budapest, Pf. 9.</w:t>
      </w:r>
      <w:proofErr w:type="spellStart"/>
      <w:proofErr w:type="spellEnd"/>
      <w:proofErr w:type="spellStart"/>
      <w:proofErr w:type="spellEnd"/>
    </w:p>
    <w:p w14:paraId="5B8F24D1" w14:textId="77777777" w:rsidR="00831ADD" w:rsidRPr="00831ADD" w:rsidRDefault="00831ADD" w:rsidP="00831ADD">
      <w:pPr>
        <w:spacing w:before="60" w:after="0" w:line="240" w:lineRule="exact"/>
        <w:jc w:val="both"/>
        <w:rPr>
          <w:sz w:val="20"/>
          <w:szCs w:val="20"/>
        </w:rPr>
      </w:pPr>
      <w:r w:rsidRPr="00831ADD">
        <w:rPr>
          <w:sz w:val="20"/>
          <w:szCs w:val="20"/>
        </w:rPr>
        <w:t>Telefonszám: +36 1 391 1400; fax: +36 1 391 1410;</w:t>
      </w:r>
      <w:proofErr w:type="spellStart"/>
      <w:proofErr w:type="spellEnd"/>
      <w:proofErr w:type="spellStart"/>
      <w:proofErr w:type="spellEnd"/>
    </w:p>
    <w:p w14:paraId="456434B1" w14:textId="1D84435D" w:rsidR="00D75651" w:rsidRDefault="00831ADD" w:rsidP="00831ADD">
      <w:pPr>
        <w:spacing w:before="60" w:after="0" w:line="240" w:lineRule="exact"/>
        <w:jc w:val="both"/>
      </w:pPr>
      <w:r w:rsidRPr="00831ADD">
        <w:rPr>
          <w:sz w:val="20"/>
          <w:szCs w:val="20"/>
        </w:rPr>
        <w:t>e-mail: ugyfelszolgalat@naih.hu; honlap: www.naih.hu</w:t>
      </w:r>
      <w:proofErr w:type="spellStart"/>
      <w:proofErr w:type="spellEnd"/>
      <w:proofErr w:type="spellStart"/>
      <w:proofErr w:type="spellEnd"/>
    </w:p>
    <w:sectPr w:rsidR="00D75651" w:rsidSect="008F043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502" w14:textId="77777777" w:rsidR="00C607E1" w:rsidRDefault="00C607E1" w:rsidP="000408DA">
      <w:pPr>
        <w:spacing w:after="0" w:line="240" w:lineRule="auto"/>
      </w:pPr>
      <w:r>
        <w:separator/>
      </w:r>
    </w:p>
  </w:endnote>
  <w:endnote w:type="continuationSeparator" w:id="0">
    <w:p w14:paraId="5ABFFCD0" w14:textId="77777777" w:rsidR="00C607E1" w:rsidRDefault="00C607E1" w:rsidP="0004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C8C3" w14:textId="77777777" w:rsidR="00413AC9" w:rsidRDefault="00413A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967689"/>
      <w:docPartObj>
        <w:docPartGallery w:val="Page Numbers (Bottom of Page)"/>
        <w:docPartUnique/>
      </w:docPartObj>
    </w:sdtPr>
    <w:sdtEndPr>
      <w:rPr>
        <w:sz w:val="18"/>
        <w:szCs w:val="18"/>
      </w:rPr>
    </w:sdtEndPr>
    <w:sdtContent>
      <w:p w14:paraId="49C86B64" w14:textId="77777777" w:rsidR="001E6DF3" w:rsidRPr="00413AC9" w:rsidRDefault="00520573"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7966A9" w:rsidRPr="00413AC9">
          <w:rPr>
            <w:noProof/>
            <w:sz w:val="18"/>
            <w:szCs w:val="18"/>
          </w:rPr>
          <w:t>2</w:t>
        </w:r>
        <w:r w:rsidRPr="00413AC9">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7413" w14:textId="77777777" w:rsidR="00413AC9" w:rsidRDefault="00413A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E1F9" w14:textId="77777777" w:rsidR="00C607E1" w:rsidRDefault="00C607E1" w:rsidP="000408DA">
      <w:pPr>
        <w:spacing w:after="0" w:line="240" w:lineRule="auto"/>
      </w:pPr>
      <w:r>
        <w:separator/>
      </w:r>
    </w:p>
  </w:footnote>
  <w:footnote w:type="continuationSeparator" w:id="0">
    <w:p w14:paraId="3B595E87" w14:textId="77777777" w:rsidR="00C607E1" w:rsidRDefault="00C607E1" w:rsidP="0004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69AA" w14:textId="77777777" w:rsidR="00413AC9" w:rsidRDefault="00413A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6D09" w14:textId="77777777" w:rsidR="00774BEF" w:rsidRPr="005A3766" w:rsidRDefault="00774BEF" w:rsidP="00774BEF">
    <w:pPr>
      <w:pStyle w:val="lfej"/>
      <w:jc w:val="center"/>
      <w:rPr>
        <w:sz w:val="28"/>
        <w:szCs w:val="28"/>
      </w:rPr>
    </w:pPr>
    <w:r w:rsidRPr="005A3766">
      <w:rPr>
        <w:b/>
        <w:sz w:val="28"/>
        <w:szCs w:val="28"/>
      </w:rPr>
      <w:t>Ügyfelekkel kapcsolatos adatkezelési tájékoztató</w:t>
    </w:r>
    <w:proofErr w:type="spellStart"/>
    <w:proofErr w:type="spellEnd"/>
  </w:p>
  <w:p w14:paraId="25D6DF5E" w14:textId="77777777" w:rsidR="00774BEF" w:rsidRDefault="00774B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49EAD" w14:textId="77777777" w:rsidR="00413AC9" w:rsidRDefault="00413A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60C"/>
    <w:rsid w:val="00320F63"/>
    <w:rsid w:val="00323624"/>
    <w:rsid w:val="00327871"/>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31ADD"/>
    <w:rsid w:val="008457A4"/>
    <w:rsid w:val="00856EDB"/>
    <w:rsid w:val="0088170E"/>
    <w:rsid w:val="008A504C"/>
    <w:rsid w:val="008A5E55"/>
    <w:rsid w:val="008A7BAC"/>
    <w:rsid w:val="008C6D5B"/>
    <w:rsid w:val="008D70E5"/>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07E1"/>
    <w:rsid w:val="00C61E90"/>
    <w:rsid w:val="00C70487"/>
    <w:rsid w:val="00C70FE0"/>
    <w:rsid w:val="00CA420E"/>
    <w:rsid w:val="00CB3ABA"/>
    <w:rsid w:val="00CC007F"/>
    <w:rsid w:val="00CD5986"/>
    <w:rsid w:val="00CE4F09"/>
    <w:rsid w:val="00CF075F"/>
    <w:rsid w:val="00D33401"/>
    <w:rsid w:val="00D40FFC"/>
    <w:rsid w:val="00D41A6D"/>
    <w:rsid w:val="00D52FD1"/>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582A0"/>
  <w15:docId w15:val="{594335DA-6BA4-4051-9641-10138F63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BD324-9459-44EE-AC67-4C2DD857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1474</Words>
  <Characters>10176</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2018-05-15T12:16:00Z</dcterms:created>
  <cp:lastModifiedBy>IPM</cp:lastModifiedBy>
  <cp:lastPrinted>2018-05-05T16:30:00Z</cp:lastPrinted>
  <dcterms:modified xsi:type="dcterms:W3CDTF">2020-10-29T12:04:00Z</dcterms:modified>
  <cp:revision>33</cp:revision>
</cp:coreProperties>
</file>